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ascii="宋体" w:hAnsi="宋体"/>
          <w:sz w:val="52"/>
          <w:u w:val="single"/>
        </w:rPr>
        <w:t>202</w:t>
      </w:r>
      <w:r>
        <w:rPr>
          <w:rFonts w:hint="default" w:ascii="宋体" w:hAnsi="宋体"/>
          <w:sz w:val="52"/>
          <w:u w:val="single"/>
          <w:lang w:val="en-US"/>
        </w:rPr>
        <w:t>1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</w:rPr>
        <w:t>年度）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>
      <w:pPr>
        <w:ind w:firstLine="1960" w:firstLineChars="700"/>
        <w:rPr>
          <w:sz w:val="28"/>
        </w:rPr>
      </w:pPr>
    </w:p>
    <w:p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化学与化工学院              </w:t>
      </w:r>
    </w:p>
    <w:p>
      <w:pPr>
        <w:ind w:firstLine="1960" w:firstLineChars="700"/>
        <w:rPr>
          <w:sz w:val="28"/>
        </w:rPr>
      </w:pPr>
    </w:p>
    <w:p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吴禄勇            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副教授                           </w:t>
      </w:r>
    </w:p>
    <w:p>
      <w:pPr>
        <w:ind w:firstLine="1920" w:firstLineChars="800"/>
        <w:rPr>
          <w:sz w:val="24"/>
          <w:u w:val="single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化学                   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教学</w:t>
      </w:r>
      <w:r>
        <w:rPr>
          <w:sz w:val="24"/>
          <w:u w:val="single"/>
        </w:rPr>
        <w:t>与科研型</w:t>
      </w:r>
      <w:r>
        <w:rPr>
          <w:rFonts w:hint="eastAsia"/>
          <w:sz w:val="24"/>
          <w:u w:val="single"/>
        </w:rPr>
        <w:t xml:space="preserve">           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1397668483</w:t>
      </w:r>
      <w:r>
        <w:rPr>
          <w:sz w:val="24"/>
          <w:u w:val="single"/>
        </w:rPr>
        <w:t>1</w:t>
      </w:r>
      <w:r>
        <w:rPr>
          <w:rFonts w:hint="eastAsia"/>
          <w:sz w:val="24"/>
          <w:u w:val="single"/>
        </w:rPr>
        <w:t xml:space="preserve">                      </w:t>
      </w: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jc w:val="center"/>
        <w:rPr>
          <w:sz w:val="24"/>
          <w:u w:val="single"/>
        </w:rPr>
      </w:pP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>
      <w:pPr>
        <w:jc w:val="center"/>
        <w:rPr>
          <w:sz w:val="32"/>
        </w:rPr>
      </w:pPr>
      <w:r>
        <w:rPr>
          <w:sz w:val="32"/>
        </w:rPr>
        <w:br w:type="page"/>
      </w:r>
    </w:p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>
      <w:pPr>
        <w:jc w:val="center"/>
        <w:rPr>
          <w:rFonts w:eastAsia="黑体"/>
          <w:sz w:val="44"/>
        </w:rPr>
      </w:pP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18—20页由二级学院评审工作委员会或职称办填写。填写内容应经人事部门审核认可，编号由人事（职改）部门统一编制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>
      <w:pPr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4.“毕业学校”填毕业学校当时的全称。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8.学年及学期表达：如2017-2018(一)、2015-2016(二)。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9.如填写表格内容较多，可自行增加行，没有内容的表格可删减行，但至少保留表头及一行，不可全删除。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10.2022年1月制表。</w:t>
      </w:r>
    </w:p>
    <w:p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565"/>
        <w:gridCol w:w="425"/>
        <w:gridCol w:w="283"/>
        <w:gridCol w:w="142"/>
        <w:gridCol w:w="567"/>
        <w:gridCol w:w="283"/>
        <w:gridCol w:w="284"/>
        <w:gridCol w:w="708"/>
        <w:gridCol w:w="289"/>
        <w:gridCol w:w="866"/>
        <w:gridCol w:w="263"/>
        <w:gridCol w:w="709"/>
        <w:gridCol w:w="146"/>
        <w:gridCol w:w="284"/>
        <w:gridCol w:w="276"/>
        <w:gridCol w:w="574"/>
        <w:gridCol w:w="283"/>
        <w:gridCol w:w="426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吴禄勇</w:t>
            </w:r>
          </w:p>
        </w:tc>
        <w:tc>
          <w:tcPr>
            <w:tcW w:w="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1979.06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政治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九三学社</w:t>
            </w:r>
          </w:p>
        </w:tc>
        <w:tc>
          <w:tcPr>
            <w:tcW w:w="1843" w:type="dxa"/>
            <w:gridSpan w:val="3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相片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有机化学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身份证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510232197906225737</w:t>
            </w:r>
          </w:p>
        </w:tc>
        <w:tc>
          <w:tcPr>
            <w:tcW w:w="1843" w:type="dxa"/>
            <w:gridSpan w:val="3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最高学历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博士研究生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兰州大学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理学博士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有机化学</w:t>
            </w:r>
          </w:p>
        </w:tc>
        <w:tc>
          <w:tcPr>
            <w:tcW w:w="1843" w:type="dxa"/>
            <w:gridSpan w:val="3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化学化工学院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2009.06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有机化学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正常晋升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4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取得现专业技术资格及时间</w:t>
            </w:r>
          </w:p>
        </w:tc>
        <w:tc>
          <w:tcPr>
            <w:tcW w:w="226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副教授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2013.12</w:t>
            </w:r>
          </w:p>
        </w:tc>
        <w:tc>
          <w:tcPr>
            <w:tcW w:w="227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申请学科组名称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(在相应学科前打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√)</w:t>
            </w:r>
          </w:p>
        </w:tc>
        <w:tc>
          <w:tcPr>
            <w:tcW w:w="297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□社会科学   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自然科学</w:t>
            </w:r>
          </w:p>
          <w:p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学科教育    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艺体外组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时间：2015年1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月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单位：海南师范大学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5年0月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20094600171023606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高校教师资格证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342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有机化学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外语成绩</w:t>
            </w:r>
          </w:p>
        </w:tc>
        <w:tc>
          <w:tcPr>
            <w:tcW w:w="241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免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教学与科研型教授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破格申报条件</w:t>
            </w:r>
          </w:p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直接评审条件</w:t>
            </w:r>
          </w:p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学习培训经历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1998.9-2002.6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学历教育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兰州大学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化学与化工学院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花蕊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2004.9-2009.6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学历教育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兰州大学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化学与化工学院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梁永民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宋体" w:hAnsi="宋体" w:cs="Arial"/>
                <w:color w:val="000000"/>
                <w:kern w:val="0"/>
                <w:szCs w:val="21"/>
                <w:lang w:val="en-US"/>
              </w:rPr>
              <w:t>2021.9-2021.12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非学历教育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北京大学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化学与分子工程学院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结业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王剑波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/>
    <w:p/>
    <w:tbl>
      <w:tblPr>
        <w:tblStyle w:val="6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  止  时  间</w:t>
            </w:r>
          </w:p>
        </w:tc>
        <w:tc>
          <w:tcPr>
            <w:tcW w:w="32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      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 事 何 专 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  术  工  作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2002年9月—2003年   7月</w:t>
            </w:r>
          </w:p>
        </w:tc>
        <w:tc>
          <w:tcPr>
            <w:tcW w:w="3265" w:type="dxa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Cs w:val="21"/>
              </w:rPr>
              <w:t>天津凯莱英医药有限公司</w:t>
            </w:r>
          </w:p>
        </w:tc>
        <w:tc>
          <w:tcPr>
            <w:tcW w:w="2410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药物中间体研发</w:t>
            </w:r>
          </w:p>
        </w:tc>
        <w:tc>
          <w:tcPr>
            <w:tcW w:w="17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助理研究员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2009年9月—2011 年   9月</w:t>
            </w:r>
          </w:p>
        </w:tc>
        <w:tc>
          <w:tcPr>
            <w:tcW w:w="3265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  <w:tc>
          <w:tcPr>
            <w:tcW w:w="17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副教授（高聘）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2011年10月—201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年   12月</w:t>
            </w:r>
          </w:p>
        </w:tc>
        <w:tc>
          <w:tcPr>
            <w:tcW w:w="3265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  <w:tc>
          <w:tcPr>
            <w:tcW w:w="17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年1月—201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年   12月</w:t>
            </w:r>
          </w:p>
        </w:tc>
        <w:tc>
          <w:tcPr>
            <w:tcW w:w="3265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  <w:tc>
          <w:tcPr>
            <w:tcW w:w="1701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副教授（聘讲师）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0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2015年12月至今</w:t>
            </w:r>
          </w:p>
        </w:tc>
        <w:tc>
          <w:tcPr>
            <w:tcW w:w="3265" w:type="dxa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  <w:tc>
          <w:tcPr>
            <w:tcW w:w="1701" w:type="dxa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</w:tr>
    </w:tbl>
    <w:p/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基本条件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思想品德鉴定及</w:t>
            </w:r>
          </w:p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该同志热爱高等教育事业，兢兢业业从事教学和科研工作，工作中严格要求自己，努力工作和奋进。工作中，努力树立良好的教师形象，认真备课，授课，课后积极辅导学生保质保量的完成教学工作任务，在学生中产生积极影响，广受到学生好评。在师德师风上，该同志有良好的职业道德、强烈的事业心和历史责任感，是学生的良师益友。同时，该同志积极担任班主任工作，参与学生的思想品德教育和学习生活引导。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ind w:firstLine="1050" w:firstLineChars="50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5年考核均合格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师德师风年度考核结论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因                          延迟     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担任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班主任工作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3年</w:t>
            </w:r>
          </w:p>
        </w:tc>
      </w:tr>
    </w:tbl>
    <w:p/>
    <w:tbl>
      <w:tblPr>
        <w:tblStyle w:val="6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835"/>
        <w:gridCol w:w="1559"/>
        <w:gridCol w:w="765"/>
        <w:gridCol w:w="766"/>
        <w:gridCol w:w="879"/>
        <w:gridCol w:w="850"/>
        <w:gridCol w:w="5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任现职以来的教学业绩情况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仿宋_GB2312" w:eastAsia="仿宋_GB2312"/>
                <w:szCs w:val="21"/>
              </w:rPr>
              <w:fldChar w:fldCharType="begin"/>
            </w:r>
            <w:r>
              <w:rPr>
                <w:rFonts w:hint="eastAsia" w:ascii="仿宋_GB2312" w:eastAsia="仿宋_GB2312"/>
                <w:szCs w:val="21"/>
              </w:rPr>
              <w:instrText xml:space="preserve"> = 1 \* GB3 </w:instrText>
            </w:r>
            <w:r>
              <w:rPr>
                <w:rFonts w:hint="eastAsia" w:ascii="仿宋_GB2312" w:eastAsia="仿宋_GB2312"/>
                <w:szCs w:val="21"/>
              </w:rPr>
              <w:fldChar w:fldCharType="separate"/>
            </w:r>
            <w:r>
              <w:rPr>
                <w:rFonts w:hint="eastAsia" w:ascii="仿宋_GB2312" w:eastAsia="仿宋_GB2312"/>
                <w:szCs w:val="21"/>
              </w:rPr>
              <w:t>①</w:t>
            </w:r>
            <w:r>
              <w:rPr>
                <w:rFonts w:hint="eastAsia" w:ascii="仿宋_GB2312" w:eastAsia="仿宋_GB2312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任现职以来，承担课堂教学工作量共计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/>
                <w:szCs w:val="21"/>
                <w:u w:val="single"/>
              </w:rPr>
              <w:t>1852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/>
                <w:szCs w:val="21"/>
                <w:u w:val="single"/>
              </w:rPr>
              <w:t>264.6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学时，其中本科生课堂教学工作量共计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/>
                <w:szCs w:val="21"/>
                <w:u w:val="single"/>
              </w:rPr>
              <w:t>1788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/>
                <w:szCs w:val="21"/>
                <w:u w:val="single"/>
              </w:rPr>
              <w:t>255.4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学时，其中实践类共计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/>
                <w:szCs w:val="21"/>
                <w:u w:val="single"/>
              </w:rPr>
              <w:t>294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/>
                <w:szCs w:val="21"/>
                <w:u w:val="single"/>
              </w:rPr>
              <w:t>42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_GB2312" w:hAnsi="宋体" w:eastAsia="仿宋_GB2312" w:cs="Arial"/>
                <w:color w:val="000000"/>
                <w:kern w:val="0"/>
                <w:szCs w:val="21"/>
                <w:u w:val="single"/>
              </w:rPr>
              <w:t>100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u w:val="single"/>
              </w:rPr>
              <w:t xml:space="preserve">   % 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本次晋升专业技术资格的课程评估成绩为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/>
                <w:szCs w:val="21"/>
                <w:u w:val="single"/>
              </w:rPr>
              <w:t>91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， 优秀   </w:t>
            </w:r>
            <w:r>
              <w:rPr>
                <w:rFonts w:hint="eastAsia" w:ascii="仿宋_GB2312" w:eastAsia="仿宋_GB2312"/>
                <w:szCs w:val="21"/>
              </w:rPr>
              <w:t>等级。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④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担任毕业实习和论文指导工作（ 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）届；或担任本科生创新创业活动（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）项；或担任本科生专业竞赛指导（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）项；或担任本科生开展寒暑假社会实践（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）项。</w:t>
            </w:r>
            <w:bookmarkEnd w:id="0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任现职以来课程教学工作量业绩表（本科生）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4</w:t>
            </w:r>
            <w:r>
              <w:rPr>
                <w:rFonts w:ascii="Times New Roman" w:hAnsi="Times New Roman" w:eastAsia="仿宋_GB2312" w:cs="Times New Roman"/>
                <w:szCs w:val="21"/>
              </w:rPr>
              <w:t>-201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5</w:t>
            </w:r>
            <w:r>
              <w:rPr>
                <w:rFonts w:ascii="Times New Roman" w:hAnsi="Times New Roman" w:eastAsia="仿宋_GB2312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1</w:t>
            </w:r>
            <w:r>
              <w:rPr>
                <w:rFonts w:ascii="Times New Roman" w:hAnsi="Times New Roman" w:eastAsia="仿宋_GB2312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有机化学(一)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2013化学（2）班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2011应化(1,2)班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4</w:t>
            </w:r>
            <w:r>
              <w:rPr>
                <w:rFonts w:ascii="Times New Roman" w:hAnsi="Times New Roman" w:eastAsia="仿宋_GB2312" w:cs="Times New Roman"/>
                <w:szCs w:val="21"/>
              </w:rPr>
              <w:t>-201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5</w:t>
            </w:r>
            <w:r>
              <w:rPr>
                <w:rFonts w:ascii="Times New Roman" w:hAnsi="Times New Roman" w:eastAsia="仿宋_GB2312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2</w:t>
            </w:r>
            <w:r>
              <w:rPr>
                <w:rFonts w:ascii="Times New Roman" w:hAnsi="Times New Roman" w:eastAsia="仿宋_GB2312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有机化学(二)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2013化学（2）班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大学化学实验（四）-有机部分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2013化学（2）班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5</w:t>
            </w:r>
            <w:r>
              <w:rPr>
                <w:rFonts w:ascii="Times New Roman" w:hAnsi="Times New Roman" w:eastAsia="仿宋_GB2312" w:cs="Times New Roman"/>
                <w:szCs w:val="21"/>
              </w:rPr>
              <w:t>-201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6</w:t>
            </w:r>
            <w:r>
              <w:rPr>
                <w:rFonts w:ascii="Times New Roman" w:hAnsi="Times New Roman" w:eastAsia="仿宋_GB2312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1</w:t>
            </w:r>
            <w:r>
              <w:rPr>
                <w:rFonts w:ascii="Times New Roman" w:hAnsi="Times New Roman" w:eastAsia="仿宋_GB2312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有机化学(一)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2014化学（1）班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大学化学实验（三）-有机部分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2014化学（1）班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2012应化(1,2)班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2015-2016(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2</w:t>
            </w:r>
            <w:r>
              <w:rPr>
                <w:rFonts w:ascii="Times New Roman" w:hAnsi="Times New Roman" w:eastAsia="仿宋_GB2312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2014化学（1）班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hint="eastAsia" w:ascii="仿宋_GB2312" w:eastAsia="仿宋_GB2312"/>
                <w:spacing w:val="-24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大学化学实验（四）-有机部分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2014化学（1）班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2013化学（1）、（2）班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6</w:t>
            </w:r>
            <w:r>
              <w:rPr>
                <w:rFonts w:ascii="Times New Roman" w:hAnsi="Times New Roman" w:eastAsia="仿宋_GB2312" w:cs="Times New Roman"/>
                <w:szCs w:val="21"/>
              </w:rPr>
              <w:t>-201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7</w:t>
            </w:r>
            <w:r>
              <w:rPr>
                <w:rFonts w:ascii="Times New Roman" w:hAnsi="Times New Roman" w:eastAsia="仿宋_GB2312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1</w:t>
            </w:r>
            <w:r>
              <w:rPr>
                <w:rFonts w:ascii="Times New Roman" w:hAnsi="Times New Roman" w:eastAsia="仿宋_GB2312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有机化学(一)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2015化学（1）班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药事管理学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2013制药班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2013应化本（1）（2）班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食品与化学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全校性公选课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6</w:t>
            </w:r>
            <w:r>
              <w:rPr>
                <w:rFonts w:ascii="Times New Roman" w:hAnsi="Times New Roman" w:eastAsia="仿宋_GB2312" w:cs="Times New Roman"/>
                <w:szCs w:val="21"/>
              </w:rPr>
              <w:t>-201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7</w:t>
            </w:r>
            <w:r>
              <w:rPr>
                <w:rFonts w:ascii="Times New Roman" w:hAnsi="Times New Roman" w:eastAsia="仿宋_GB2312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2</w:t>
            </w:r>
            <w:r>
              <w:rPr>
                <w:rFonts w:ascii="Times New Roman" w:hAnsi="Times New Roman" w:eastAsia="仿宋_GB2312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有机化学(二)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2015化学（1）班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大学化学实验(四)-有机部分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2015应用化学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2014化学（1）、（2）班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食品与化学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全校性公选课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7</w:t>
            </w:r>
            <w:r>
              <w:rPr>
                <w:rFonts w:ascii="Times New Roman" w:hAnsi="Times New Roman" w:eastAsia="仿宋_GB2312" w:cs="Times New Roman"/>
                <w:szCs w:val="21"/>
              </w:rPr>
              <w:t>-201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8</w:t>
            </w:r>
            <w:r>
              <w:rPr>
                <w:rFonts w:ascii="Times New Roman" w:hAnsi="Times New Roman" w:eastAsia="仿宋_GB2312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1</w:t>
            </w:r>
            <w:r>
              <w:rPr>
                <w:rFonts w:ascii="Times New Roman" w:hAnsi="Times New Roman" w:eastAsia="仿宋_GB2312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2016生物科学2班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39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药事管理学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2014制药工程班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专业英语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2014制药工程班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食品与化学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全校性公选课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2014应用化学（1）、（2）班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7</w:t>
            </w:r>
            <w:r>
              <w:rPr>
                <w:rFonts w:ascii="Times New Roman" w:hAnsi="Times New Roman" w:eastAsia="仿宋_GB2312" w:cs="Times New Roman"/>
                <w:szCs w:val="21"/>
              </w:rPr>
              <w:t>-201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8</w:t>
            </w:r>
            <w:r>
              <w:rPr>
                <w:rFonts w:ascii="Times New Roman" w:hAnsi="Times New Roman" w:eastAsia="仿宋_GB2312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2</w:t>
            </w:r>
            <w:r>
              <w:rPr>
                <w:rFonts w:ascii="Times New Roman" w:hAnsi="Times New Roman" w:eastAsia="仿宋_GB2312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有机化学（一）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2016化学3班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大学化学实验（二）-有机部分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2016化学3班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食品与化学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全校性公选课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8</w:t>
            </w:r>
            <w:r>
              <w:rPr>
                <w:rFonts w:ascii="Times New Roman" w:hAnsi="Times New Roman" w:eastAsia="仿宋_GB2312" w:cs="Times New Roman"/>
                <w:szCs w:val="21"/>
              </w:rPr>
              <w:t>-201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9</w:t>
            </w:r>
            <w:r>
              <w:rPr>
                <w:rFonts w:ascii="Times New Roman" w:hAnsi="Times New Roman" w:eastAsia="仿宋_GB2312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1</w:t>
            </w:r>
            <w:r>
              <w:rPr>
                <w:rFonts w:ascii="Times New Roman" w:hAnsi="Times New Roman" w:eastAsia="仿宋_GB2312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2016化学3班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2015应用化学班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药事管理学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2015制药工程班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论文写作与文献检索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2017应用化学（3+2）班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食品与化学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全校性公选课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8</w:t>
            </w:r>
            <w:r>
              <w:rPr>
                <w:rFonts w:ascii="Times New Roman" w:hAnsi="Times New Roman" w:eastAsia="仿宋_GB2312" w:cs="Times New Roman"/>
                <w:szCs w:val="21"/>
              </w:rPr>
              <w:t>-201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9</w:t>
            </w:r>
            <w:r>
              <w:rPr>
                <w:rFonts w:ascii="Times New Roman" w:hAnsi="Times New Roman" w:eastAsia="仿宋_GB2312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2</w:t>
            </w:r>
            <w:r>
              <w:rPr>
                <w:rFonts w:ascii="Times New Roman" w:hAnsi="Times New Roman" w:eastAsia="仿宋_GB2312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有机化学（一）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2017化学3班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大学化学实验（二）-有机部分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2016化学3班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9</w:t>
            </w:r>
            <w:r>
              <w:rPr>
                <w:rFonts w:ascii="Times New Roman" w:hAnsi="Times New Roman" w:eastAsia="仿宋_GB2312" w:cs="Times New Roman"/>
                <w:szCs w:val="21"/>
              </w:rPr>
              <w:t>-20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20</w:t>
            </w:r>
            <w:r>
              <w:rPr>
                <w:rFonts w:ascii="Times New Roman" w:hAnsi="Times New Roman" w:eastAsia="仿宋_GB2312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1</w:t>
            </w:r>
            <w:r>
              <w:rPr>
                <w:rFonts w:ascii="Times New Roman" w:hAnsi="Times New Roman" w:eastAsia="仿宋_GB2312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仿宋_GB2312" w:eastAsia="仿宋_GB2312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2017化学3班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论文写作与文献检索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2018级应用化学（3+2）班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药品生产质量管理工程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016级制药工程班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9</w:t>
            </w:r>
            <w:r>
              <w:rPr>
                <w:rFonts w:ascii="Times New Roman" w:hAnsi="Times New Roman" w:eastAsia="仿宋_GB2312" w:cs="Times New Roman"/>
                <w:szCs w:val="21"/>
              </w:rPr>
              <w:t>-20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20</w:t>
            </w:r>
            <w:r>
              <w:rPr>
                <w:rFonts w:ascii="Times New Roman" w:hAnsi="Times New Roman" w:eastAsia="仿宋_GB2312" w:cs="Times New Roman"/>
                <w:szCs w:val="21"/>
              </w:rPr>
              <w:t>(2)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有机化学（一）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2018化学2班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大学化学实验（二）-有机部分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2018化学2班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2020-20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2</w:t>
            </w:r>
            <w:r>
              <w:rPr>
                <w:rFonts w:ascii="Times New Roman" w:hAnsi="Times New Roman" w:eastAsia="仿宋_GB2312" w:cs="Times New Roman"/>
                <w:szCs w:val="21"/>
              </w:rPr>
              <w:t>1(1)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药品生产质量管理工程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01</w:t>
            </w:r>
            <w:r>
              <w:rPr>
                <w:rFonts w:ascii="仿宋_GB2312" w:eastAsia="仿宋_GB2312"/>
                <w:szCs w:val="21"/>
              </w:rPr>
              <w:t>7</w:t>
            </w:r>
            <w:r>
              <w:rPr>
                <w:rFonts w:hint="eastAsia" w:ascii="仿宋_GB2312" w:eastAsia="仿宋_GB2312"/>
                <w:szCs w:val="21"/>
              </w:rPr>
              <w:t>级制药工程班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论文写作与文献检索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2018级应用化学（3+2）班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2018化学2班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食品与化学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全校性公选课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1494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任现职以来课程教学工作量业绩表（研究生）</w:t>
            </w:r>
          </w:p>
        </w:tc>
      </w:tr>
      <w:tr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2019-2020(1)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药物设计与合成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博士研究生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2020-20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2</w:t>
            </w:r>
            <w:r>
              <w:rPr>
                <w:rFonts w:ascii="Times New Roman" w:hAnsi="Times New Roman" w:eastAsia="仿宋_GB2312" w:cs="Times New Roman"/>
                <w:szCs w:val="21"/>
              </w:rPr>
              <w:t>1(1)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药物设计与合成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博士研究生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任现职以来实践类教学工作量业绩表</w:t>
            </w:r>
          </w:p>
        </w:tc>
      </w:tr>
      <w:tr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4-2015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大学生创新实验项目省级项目1项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hint="eastAsia" w:ascii="仿宋_GB2312" w:eastAsia="仿宋_GB2312"/>
                <w:szCs w:val="21"/>
              </w:rPr>
              <w:t>级黄青兰等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4-2015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大学生创新实验项目省级项目1项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hint="eastAsia" w:ascii="仿宋_GB2312" w:eastAsia="仿宋_GB2312"/>
                <w:szCs w:val="21"/>
              </w:rPr>
              <w:t>级雷海阔等人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015-2016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大学生创新实验项目省级项目1项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hint="eastAsia" w:ascii="仿宋_GB2312" w:eastAsia="仿宋_GB2312"/>
                <w:szCs w:val="21"/>
              </w:rPr>
              <w:t>级彭潇楚等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2019-2020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大学生创新实验项目省级项目1项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6</w:t>
            </w:r>
            <w:r>
              <w:rPr>
                <w:rFonts w:hint="eastAsia" w:ascii="仿宋_GB2312" w:eastAsia="仿宋_GB2312"/>
                <w:szCs w:val="21"/>
              </w:rPr>
              <w:t>级刘茜等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3-2014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2010级4人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4-2015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2011级4人 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5-2016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</w:rPr>
              <w:t>201</w:t>
            </w:r>
            <w:r>
              <w:t>2</w:t>
            </w:r>
            <w:r>
              <w:rPr>
                <w:rFonts w:hint="eastAsia"/>
              </w:rPr>
              <w:t>级5人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6-2017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2013级</w:t>
            </w:r>
            <w:r>
              <w:rPr>
                <w:rFonts w:ascii="仿宋_GB2312" w:eastAsia="仿宋_GB2312"/>
                <w:szCs w:val="21"/>
              </w:rPr>
              <w:t>8</w:t>
            </w:r>
            <w:r>
              <w:rPr>
                <w:rFonts w:hint="eastAsia" w:ascii="仿宋_GB2312" w:eastAsia="仿宋_GB2312"/>
                <w:szCs w:val="21"/>
              </w:rPr>
              <w:t>人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017-2018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2014级2人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2018-2019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</w:rPr>
              <w:t>2015级6人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019-2020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级</w:t>
            </w:r>
            <w:r>
              <w:t>4</w:t>
            </w:r>
            <w:r>
              <w:rPr>
                <w:rFonts w:hint="eastAsia"/>
              </w:rPr>
              <w:t>人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294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指导学生实习、论文、实践情况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自2014年</w:t>
            </w:r>
            <w:r>
              <w:rPr>
                <w:rFonts w:ascii="仿宋_GB2312" w:eastAsia="仿宋_GB2312"/>
                <w:szCs w:val="21"/>
              </w:rPr>
              <w:t>，</w:t>
            </w:r>
            <w:r>
              <w:rPr>
                <w:rFonts w:hint="eastAsia" w:ascii="仿宋_GB2312" w:eastAsia="仿宋_GB2312"/>
                <w:szCs w:val="21"/>
              </w:rPr>
              <w:t>每一学年</w:t>
            </w:r>
            <w:r>
              <w:rPr>
                <w:rFonts w:ascii="仿宋_GB2312" w:eastAsia="仿宋_GB2312"/>
                <w:szCs w:val="21"/>
              </w:rPr>
              <w:t>均指导学生完成毕业</w:t>
            </w:r>
            <w:r>
              <w:rPr>
                <w:rFonts w:hint="eastAsia" w:ascii="仿宋_GB2312" w:eastAsia="仿宋_GB2312"/>
                <w:szCs w:val="21"/>
              </w:rPr>
              <w:t>论文，共计7年度</w:t>
            </w:r>
            <w:r>
              <w:rPr>
                <w:rFonts w:ascii="仿宋_GB2312" w:eastAsia="仿宋_GB2312"/>
                <w:szCs w:val="21"/>
              </w:rPr>
              <w:t>共</w:t>
            </w:r>
            <w:r>
              <w:rPr>
                <w:rFonts w:hint="eastAsia" w:ascii="仿宋_GB2312" w:eastAsia="仿宋_GB2312"/>
                <w:szCs w:val="21"/>
              </w:rPr>
              <w:t>33名</w:t>
            </w:r>
            <w:r>
              <w:rPr>
                <w:rFonts w:ascii="仿宋_GB2312" w:eastAsia="仿宋_GB2312"/>
                <w:szCs w:val="21"/>
              </w:rPr>
              <w:t>毕业生。</w:t>
            </w:r>
          </w:p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共</w:t>
            </w:r>
            <w:r>
              <w:rPr>
                <w:rFonts w:ascii="仿宋_GB2312" w:eastAsia="仿宋_GB2312"/>
                <w:szCs w:val="21"/>
              </w:rPr>
              <w:t>指导大学生</w:t>
            </w:r>
            <w:r>
              <w:rPr>
                <w:rFonts w:hint="eastAsia" w:ascii="仿宋_GB2312" w:eastAsia="仿宋_GB2312"/>
                <w:szCs w:val="21"/>
              </w:rPr>
              <w:t>创新实验项目4项</w:t>
            </w:r>
            <w:r>
              <w:rPr>
                <w:rFonts w:ascii="仿宋_GB2312" w:eastAsia="仿宋_GB2312"/>
                <w:szCs w:val="21"/>
              </w:rPr>
              <w:t>，</w:t>
            </w:r>
            <w:r>
              <w:rPr>
                <w:rFonts w:hint="eastAsia" w:ascii="仿宋_GB2312" w:eastAsia="仿宋_GB2312"/>
                <w:szCs w:val="21"/>
              </w:rPr>
              <w:t>均为</w:t>
            </w:r>
            <w:r>
              <w:rPr>
                <w:rFonts w:ascii="仿宋_GB2312" w:eastAsia="仿宋_GB2312"/>
                <w:szCs w:val="21"/>
              </w:rPr>
              <w:t>省级项目。分别</w:t>
            </w:r>
            <w:r>
              <w:rPr>
                <w:rFonts w:hint="eastAsia" w:ascii="仿宋_GB2312" w:eastAsia="仿宋_GB2312"/>
                <w:szCs w:val="21"/>
              </w:rPr>
              <w:t>是：</w:t>
            </w:r>
          </w:p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2014.5-2015.6    </w:t>
            </w:r>
            <w:r>
              <w:rPr>
                <w:rFonts w:hint="eastAsia" w:ascii="仿宋_GB2312" w:eastAsia="仿宋_GB2312"/>
                <w:szCs w:val="21"/>
              </w:rPr>
              <w:t>有机叠氮化合物的脱氮反应研究；黄青兰、王若婷、谢润、谭志强</w:t>
            </w:r>
          </w:p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2014.5-2015.6    </w:t>
            </w:r>
            <w:r>
              <w:rPr>
                <w:rFonts w:hint="eastAsia" w:ascii="仿宋_GB2312" w:eastAsia="仿宋_GB2312"/>
                <w:szCs w:val="21"/>
              </w:rPr>
              <w:t>基于氧气参与下1,2,3- 三唑类化合物的绿色合成研究;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雷海阔 唐玲霞 唐凤娇 杨宝梅</w:t>
            </w:r>
          </w:p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2015.5-2016.12   脯氨酸催化的Claisen-Schmidt缩合反应研究; 彭潇楚、符青坛</w:t>
            </w:r>
          </w:p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2019.6-2020.6    </w:t>
            </w:r>
            <w:r>
              <w:rPr>
                <w:rFonts w:hint="eastAsia" w:ascii="仿宋_GB2312" w:eastAsia="仿宋_GB2312"/>
                <w:szCs w:val="21"/>
              </w:rPr>
              <w:t>乙炔参与下氘代1,2,3-三唑合成研究;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刘茜、刘丽</w:t>
            </w: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</w:tc>
      </w:tr>
    </w:tbl>
    <w:p>
      <w:r>
        <w:br w:type="page"/>
      </w:r>
    </w:p>
    <w:tbl>
      <w:tblPr>
        <w:tblStyle w:val="6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0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0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0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60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300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0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1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100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0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全国A类指导奖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全国B类指导奖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全国C类指导奖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FF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0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160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</w:tbl>
    <w:p>
      <w:pPr>
        <w:spacing w:line="36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>
      <w:pPr>
        <w:spacing w:line="360" w:lineRule="exact"/>
        <w:ind w:firstLine="840" w:firstLineChars="3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2.当【课堂教学+教学研究+教学成果三项分值】超过【初始教学总分】的50%时，需将此三项的小计分值按【初始教学总分】的50%计入个人【最后教学总分】（只折算一次）。</w:t>
      </w:r>
    </w:p>
    <w:p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/>
    <w:p>
      <w:pPr>
        <w:widowControl/>
        <w:jc w:val="left"/>
      </w:pPr>
      <w:r>
        <w:br w:type="page"/>
      </w:r>
    </w:p>
    <w:p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p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任现职以来科研创新能力评价计分汇总表2-1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ind w:firstLine="240" w:firstLineChars="10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ind w:firstLine="240" w:firstLineChars="10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p/>
    <w:p/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任现职以来科研创新能力评价计分汇总表2-2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1060"/>
        <w:gridCol w:w="1830"/>
        <w:gridCol w:w="1243"/>
        <w:gridCol w:w="692"/>
        <w:gridCol w:w="849"/>
        <w:gridCol w:w="816"/>
        <w:gridCol w:w="851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任现职以来科研创新能力评价计分汇总表2-1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2300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000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300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3.3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640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293.3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0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p>
      <w:pPr>
        <w:widowControl/>
        <w:jc w:val="left"/>
      </w:pPr>
      <w:r>
        <w:br w:type="page"/>
      </w:r>
    </w:p>
    <w:p/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426"/>
        <w:gridCol w:w="1034"/>
        <w:gridCol w:w="1729"/>
        <w:gridCol w:w="145"/>
        <w:gridCol w:w="1105"/>
        <w:gridCol w:w="691"/>
        <w:gridCol w:w="855"/>
        <w:gridCol w:w="936"/>
        <w:gridCol w:w="851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4133.3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4133.3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/>
    <w:p/>
    <w:p>
      <w:pPr>
        <w:widowControl/>
        <w:jc w:val="left"/>
      </w:pPr>
      <w:r>
        <w:br w:type="page"/>
      </w:r>
    </w:p>
    <w:p/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445"/>
        <w:gridCol w:w="948"/>
        <w:gridCol w:w="993"/>
        <w:gridCol w:w="425"/>
        <w:gridCol w:w="567"/>
        <w:gridCol w:w="850"/>
        <w:gridCol w:w="851"/>
        <w:gridCol w:w="709"/>
        <w:gridCol w:w="708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批准号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425" w:type="dxa"/>
            <w:vAlign w:val="center"/>
          </w:tcPr>
          <w:p>
            <w:r>
              <w:rPr>
                <w:rFonts w:hint="eastAsia"/>
              </w:rPr>
              <w:t>等级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立项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是否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是否</w:t>
            </w:r>
          </w:p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结项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r>
              <w:rPr>
                <w:rFonts w:hint="eastAsia"/>
              </w:rPr>
              <w:t>1</w:t>
            </w:r>
          </w:p>
          <w:p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基于过渡金属催化的多取代1,2,3-三唑的合成方法学研究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21362008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国家自然科学基金委</w:t>
            </w:r>
          </w:p>
        </w:tc>
        <w:tc>
          <w:tcPr>
            <w:tcW w:w="425" w:type="dxa"/>
            <w:vAlign w:val="center"/>
          </w:tcPr>
          <w:p>
            <w:r>
              <w:rPr>
                <w:rFonts w:hint="eastAsia"/>
              </w:rPr>
              <w:t>A</w:t>
            </w:r>
          </w:p>
        </w:tc>
        <w:tc>
          <w:tcPr>
            <w:tcW w:w="567" w:type="dxa"/>
            <w:vAlign w:val="center"/>
          </w:tcPr>
          <w:p>
            <w:r>
              <w:rPr>
                <w:rFonts w:hint="eastAsia"/>
              </w:rPr>
              <w:t>A</w:t>
            </w:r>
            <w:r>
              <w:t>3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2013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25.0</w:t>
            </w:r>
            <w:r>
              <w:rPr>
                <w:rFonts w:hint="eastAsia"/>
              </w:rPr>
              <w:tab/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eastAsia="宋体"/>
              </w:rPr>
              <w:t>是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r>
              <w:t>2</w:t>
            </w:r>
            <w:r>
              <w:rPr>
                <w:rFonts w:hint="eastAsia"/>
              </w:rPr>
              <w:t>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基于重氮化合物参与[3+2]环加成反应合成1,2,3-三唑研究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tab/>
            </w:r>
          </w:p>
          <w:p>
            <w:r>
              <w:t>219MS044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海南省科学技术厅</w:t>
            </w:r>
          </w:p>
        </w:tc>
        <w:tc>
          <w:tcPr>
            <w:tcW w:w="425" w:type="dxa"/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567" w:type="dxa"/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850" w:type="dxa"/>
            <w:vAlign w:val="center"/>
          </w:tcPr>
          <w:p>
            <w:r>
              <w:t>2019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hint="eastAsia"/>
              </w:rPr>
              <w:t>0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</w:t>
            </w:r>
          </w:p>
          <w:p/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否</w:t>
            </w:r>
          </w:p>
          <w:p/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  <w:p>
            <w:r>
              <w:rPr>
                <w:rFonts w:hint="eastAsia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76" w:type="dxa"/>
            <w:vAlign w:val="center"/>
          </w:tcPr>
          <w:p/>
          <w:p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铜催化下叠氮-炔烃环加成反应的串联反应研究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tab/>
            </w:r>
          </w:p>
          <w:p>
            <w:r>
              <w:t>20152039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海南省科学技术厅</w:t>
            </w:r>
          </w:p>
        </w:tc>
        <w:tc>
          <w:tcPr>
            <w:tcW w:w="425" w:type="dxa"/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567" w:type="dxa"/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Arial" w:hAnsi="Arial" w:cs="Arial"/>
                <w:color w:val="4F4F4F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2015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3.0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76" w:type="dxa"/>
            <w:vAlign w:val="center"/>
          </w:tcPr>
          <w:p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铜催化的交叉偶联反应在吲哚类化合物合成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t>211017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海南省科学技术厅</w:t>
            </w:r>
          </w:p>
        </w:tc>
        <w:tc>
          <w:tcPr>
            <w:tcW w:w="425" w:type="dxa"/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567" w:type="dxa"/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2</w:t>
            </w:r>
            <w:r>
              <w:t>012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0.0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>
      <w:r>
        <w:rPr>
          <w:rFonts w:hint="eastAsia"/>
        </w:rPr>
        <w:t>注：人文社科类参考评审文件附件1-4填写，自然科学类参考附件1-5填写，等级按A到E级填写，级别按A1或A2填写。</w:t>
      </w:r>
    </w:p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3171"/>
        <w:gridCol w:w="1984"/>
        <w:gridCol w:w="709"/>
        <w:gridCol w:w="709"/>
        <w:gridCol w:w="850"/>
        <w:gridCol w:w="1134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3" w:hRule="atLeast"/>
        </w:trPr>
        <w:tc>
          <w:tcPr>
            <w:tcW w:w="9781" w:type="dxa"/>
            <w:gridSpan w:val="8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个人占比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检索证明</w:t>
            </w:r>
          </w:p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(有或无)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Green synthesis of 1-monosubstituted</w:t>
            </w:r>
          </w:p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1,2,3-triazoles via ‘click chemistry’ in water</w:t>
            </w:r>
          </w:p>
        </w:tc>
        <w:tc>
          <w:tcPr>
            <w:tcW w:w="1984" w:type="dxa"/>
          </w:tcPr>
          <w:p>
            <w:pPr>
              <w:widowControl/>
              <w:jc w:val="center"/>
            </w:pPr>
            <w:r>
              <w:t xml:space="preserve">Heterocycl. </w:t>
            </w:r>
            <w:r>
              <w:rPr>
                <w:lang w:val="fr-FR"/>
              </w:rPr>
              <w:t>Commun</w:t>
            </w:r>
            <w:r>
              <w:rPr>
                <w:rFonts w:hint="eastAsia"/>
                <w:lang w:val="fr-FR"/>
              </w:rPr>
              <w:t>., 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fr-FR"/>
              </w:rPr>
              <w:t>12</w:t>
            </w:r>
            <w:r>
              <w:rPr>
                <w:rFonts w:hint="eastAsia"/>
              </w:rPr>
              <w:t>月第</w:t>
            </w:r>
            <w:r>
              <w:rPr>
                <w:rFonts w:hint="eastAsia"/>
                <w:lang w:val="fr-FR"/>
              </w:rPr>
              <w:t>6</w:t>
            </w:r>
            <w:r>
              <w:rPr>
                <w:rFonts w:hint="eastAsia"/>
              </w:rPr>
              <w:t>期</w:t>
            </w:r>
            <w:r>
              <w:rPr>
                <w:rFonts w:hint="eastAsia"/>
                <w:lang w:val="fr-FR"/>
              </w:rPr>
              <w:t xml:space="preserve">，ISSN  </w:t>
            </w:r>
            <w:r>
              <w:rPr>
                <w:lang w:val="fr-FR"/>
              </w:rPr>
              <w:t>0793-0283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100</w:t>
            </w:r>
            <w:r>
              <w:t>%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8</w:t>
            </w:r>
            <w: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Base-mediated reaction of vinyl bromides with aryl azides: one-pot</w:t>
            </w:r>
          </w:p>
          <w:p>
            <w:pPr>
              <w:jc w:val="center"/>
            </w:pPr>
            <w:r>
              <w:rPr>
                <w:rFonts w:ascii="Times New Roman" w:hAnsi="Times New Roman" w:eastAsia="宋体" w:cs="Times New Roman"/>
                <w:szCs w:val="24"/>
              </w:rPr>
              <w:t>synthesis of 1,5-disubstituted 1,2,3-triazoles</w:t>
            </w:r>
          </w:p>
        </w:tc>
        <w:tc>
          <w:tcPr>
            <w:tcW w:w="1984" w:type="dxa"/>
          </w:tcPr>
          <w:p>
            <w:pPr>
              <w:widowControl/>
              <w:jc w:val="center"/>
            </w:pPr>
            <w:r>
              <w:t>Tetrahedron Letters</w:t>
            </w:r>
            <w:r>
              <w:rPr>
                <w:rFonts w:hint="eastAsia"/>
              </w:rPr>
              <w:t xml:space="preserve">, 2014年7月第29期，ISSN </w:t>
            </w:r>
            <w:r>
              <w:rPr>
                <w:lang w:val="fr-FR"/>
              </w:rPr>
              <w:t>0040-4039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100</w:t>
            </w:r>
            <w:r>
              <w:t>%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ChemInform Abstract</w:t>
            </w: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Tandem synthesis of 2-aryl-1,2,3-triazoles from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i/>
                <w:szCs w:val="24"/>
              </w:rPr>
              <w:t>α</w:t>
            </w:r>
            <w:r>
              <w:rPr>
                <w:rFonts w:ascii="Times New Roman" w:hAnsi="Times New Roman" w:eastAsia="宋体" w:cs="Times New Roman"/>
                <w:szCs w:val="24"/>
              </w:rPr>
              <w:t>-arylhydrazonoketones with NH</w:t>
            </w:r>
            <w:r>
              <w:rPr>
                <w:rFonts w:ascii="Times New Roman" w:hAnsi="Times New Roman" w:eastAsia="宋体" w:cs="Times New Roman"/>
                <w:szCs w:val="24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4"/>
              </w:rPr>
              <w:t>OAc via copper-catalyzed</w:t>
            </w:r>
          </w:p>
          <w:p>
            <w:pPr>
              <w:jc w:val="center"/>
            </w:pPr>
            <w:r>
              <w:rPr>
                <w:rFonts w:ascii="Times New Roman" w:hAnsi="Times New Roman" w:eastAsia="宋体" w:cs="Times New Roman"/>
                <w:szCs w:val="24"/>
              </w:rPr>
              <w:t>aerobic oxidation</w:t>
            </w:r>
          </w:p>
        </w:tc>
        <w:tc>
          <w:tcPr>
            <w:tcW w:w="1984" w:type="dxa"/>
          </w:tcPr>
          <w:p>
            <w:pPr>
              <w:widowControl/>
              <w:jc w:val="center"/>
            </w:pPr>
            <w:r>
              <w:t>Tetrahedron Letters</w:t>
            </w:r>
            <w:r>
              <w:rPr>
                <w:rFonts w:hint="eastAsia"/>
              </w:rPr>
              <w:t xml:space="preserve">, 2015年4月第17期，ISSN </w:t>
            </w:r>
            <w:r>
              <w:rPr>
                <w:lang w:val="fr-FR"/>
              </w:rPr>
              <w:t>0040-4039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100</w:t>
            </w:r>
            <w:r>
              <w:t>%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ChemInform Abstract</w:t>
            </w: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160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4-Aryl-NH-1,2,3-Triazoles via Multicomponent Reaction of Alde-hydes, Nitroalkanes, and Sodium Azide</w:t>
            </w:r>
          </w:p>
        </w:tc>
        <w:tc>
          <w:tcPr>
            <w:tcW w:w="1984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 xml:space="preserve">Synlett，2016年2月第3期，ISSN </w:t>
            </w:r>
            <w:r>
              <w:t>0936-5214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100</w:t>
            </w:r>
            <w:r>
              <w:t>%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ChemInform Abstract</w:t>
            </w: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Cs w:val="21"/>
              </w:rPr>
              <w:t>无过渡金属参与的1,2,3-三唑合成进展</w:t>
            </w:r>
          </w:p>
        </w:tc>
        <w:tc>
          <w:tcPr>
            <w:tcW w:w="1984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有机化学，2016年8月第8期，ISSN 0253-2786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/3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26.7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pStyle w:val="5"/>
              <w:widowControl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叔丁醇钾催化芳甲基叠氮化合物合成芳醛和芳酮的反应研究</w:t>
            </w:r>
          </w:p>
        </w:tc>
        <w:tc>
          <w:tcPr>
            <w:tcW w:w="1984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有机化学，2017年1月第1期，ISSN 0253-2786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100</w:t>
            </w:r>
            <w:r>
              <w:t>%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pStyle w:val="5"/>
              <w:widowControl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2"/>
                <w:sz w:val="21"/>
                <w:szCs w:val="21"/>
              </w:rPr>
              <w:t>The Research for Base-Mediated Aerobic Oxidation of Benzoins to Benzils and Nitrogen Heterocyclic Compounds</w:t>
            </w:r>
          </w:p>
        </w:tc>
        <w:tc>
          <w:tcPr>
            <w:tcW w:w="1984" w:type="dxa"/>
          </w:tcPr>
          <w:p>
            <w:pPr>
              <w:widowControl/>
              <w:jc w:val="center"/>
            </w:pPr>
            <w:r>
              <w:t>Chemistryselect, 2020</w:t>
            </w:r>
            <w:r>
              <w:rPr>
                <w:rFonts w:hint="eastAsia"/>
              </w:rPr>
              <w:t>年</w:t>
            </w:r>
            <w:r>
              <w:t>第2期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fr-FR"/>
              </w:rPr>
              <w:t>ISSN</w:t>
            </w:r>
            <w:r>
              <w:rPr>
                <w:lang w:val="fr-FR"/>
              </w:rPr>
              <w:t xml:space="preserve"> 2365-6549 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100</w:t>
            </w:r>
            <w:r>
              <w:t>%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8</w:t>
            </w:r>
            <w: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t>K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t>-Promoted Pyrazoles Synthesis from 1,3-Dipolar</w:t>
            </w:r>
          </w:p>
          <w:p>
            <w:pPr>
              <w:jc w:val="center"/>
            </w:pPr>
            <w:r>
              <w:t>Cycloaddition of N-Tosylhydrazones with Acetylene Gas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t>Chemistryselect, 2020</w:t>
            </w:r>
            <w:r>
              <w:rPr>
                <w:rFonts w:hint="eastAsia"/>
              </w:rPr>
              <w:t>年</w:t>
            </w:r>
            <w:r>
              <w:t>第5期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fr-FR"/>
              </w:rPr>
              <w:t>ISSN</w:t>
            </w:r>
            <w:r>
              <w:rPr>
                <w:lang w:val="fr-FR"/>
              </w:rPr>
              <w:t xml:space="preserve"> 2365-6549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/3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</w:rPr>
              <w:t>26.7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Potassium tert-Butoxide Promoted Synthesis of 4,5-Diaryl-2H-1,2,3-triazoles from Tosylhydrazones and Nitriles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Synlett</w:t>
            </w:r>
          </w:p>
          <w:p>
            <w:pPr>
              <w:widowControl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  <w:lang w:eastAsia="zh-CN"/>
              </w:rPr>
              <w:t>第二期</w:t>
            </w:r>
          </w:p>
          <w:p>
            <w:pPr>
              <w:widowControl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 xml:space="preserve">ISSN </w:t>
            </w:r>
            <w:r>
              <w:t>0936-5214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709" w:type="dxa"/>
          </w:tcPr>
          <w:p>
            <w:pPr>
              <w:widowControl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60</w:t>
            </w:r>
          </w:p>
        </w:tc>
      </w:tr>
    </w:tbl>
    <w:p>
      <w:r>
        <w:rPr>
          <w:rFonts w:hint="eastAsia"/>
        </w:rPr>
        <w:t>注：人文社科类参考评审文件附件1-4填写，自然科学类参考附件1-5填写，刊物级别按A到F级填写。</w:t>
      </w:r>
    </w:p>
    <w:p/>
    <w:tbl>
      <w:tblPr>
        <w:tblStyle w:val="7"/>
        <w:tblpPr w:leftFromText="180" w:rightFromText="180" w:vertAnchor="text" w:horzAnchor="page" w:tblpX="1236" w:tblpY="185"/>
        <w:tblOverlap w:val="never"/>
        <w:tblW w:w="97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2006"/>
        <w:gridCol w:w="709"/>
        <w:gridCol w:w="850"/>
        <w:gridCol w:w="992"/>
        <w:gridCol w:w="851"/>
        <w:gridCol w:w="992"/>
        <w:gridCol w:w="992"/>
        <w:gridCol w:w="993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747" w:type="dxa"/>
            <w:gridSpan w:val="10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合（独）著译及排名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CIP核字号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个人撰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《药物生产技术》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A级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合著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  <w:szCs w:val="21"/>
              </w:rPr>
              <w:t>科学出版社，2014年9月，ISBN 978-7-03-041668-1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szCs w:val="21"/>
              </w:rPr>
              <w:t>（2014）第191736号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58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8</w:t>
            </w:r>
            <w:r>
              <w:t>.6</w:t>
            </w: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r>
        <w:rPr>
          <w:rFonts w:hint="eastAsia"/>
        </w:rPr>
        <w:t>注：人文社科类参考评审文件附件1-4填写，自然科学类参考附件1-5填写，级别按A-C填写。</w:t>
      </w:r>
    </w:p>
    <w:p>
      <w:pPr>
        <w:widowControl/>
        <w:jc w:val="left"/>
      </w:pPr>
      <w:r>
        <w:br w:type="page"/>
      </w:r>
    </w:p>
    <w:p/>
    <w:tbl>
      <w:tblPr>
        <w:tblStyle w:val="7"/>
        <w:tblpPr w:leftFromText="180" w:rightFromText="180" w:vertAnchor="text" w:horzAnchor="page" w:tblpX="1242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36"/>
        <w:gridCol w:w="1200"/>
        <w:gridCol w:w="1526"/>
        <w:gridCol w:w="850"/>
        <w:gridCol w:w="851"/>
        <w:gridCol w:w="992"/>
        <w:gridCol w:w="709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747" w:type="dxa"/>
            <w:gridSpan w:val="9"/>
            <w:vAlign w:val="center"/>
          </w:tcPr>
          <w:p>
            <w:pPr>
              <w:ind w:firstLine="4081" w:firstLineChars="1936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第几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注：人文社科类参考评审文件附件1-4填写，自然科学类参考附件1-5填写，成果类别按A级-C级填写。</w:t>
      </w:r>
    </w:p>
    <w:p/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095"/>
        <w:gridCol w:w="2633"/>
        <w:gridCol w:w="1133"/>
        <w:gridCol w:w="754"/>
        <w:gridCol w:w="851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754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754" w:type="dxa"/>
          </w:tcPr>
          <w:p>
            <w:pPr>
              <w:widowControl/>
              <w:jc w:val="center"/>
            </w:pPr>
          </w:p>
        </w:tc>
        <w:tc>
          <w:tcPr>
            <w:tcW w:w="851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注：人文社科类参考评审文件附件1-4填写，自然科学类参考附件1-5填写，级别按A-C填写。</w:t>
      </w:r>
    </w:p>
    <w:tbl>
      <w:tblPr>
        <w:tblStyle w:val="7"/>
        <w:tblpPr w:leftFromText="180" w:rightFromText="180" w:vertAnchor="text" w:horzAnchor="page" w:tblpX="1240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997"/>
        <w:gridCol w:w="711"/>
        <w:gridCol w:w="851"/>
        <w:gridCol w:w="1275"/>
        <w:gridCol w:w="993"/>
        <w:gridCol w:w="850"/>
        <w:gridCol w:w="855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53" w:type="dxa"/>
            <w:gridSpan w:val="9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六、知识产权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等级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授权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第几发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>
            <w:r>
              <w:fldChar w:fldCharType="begin"/>
            </w:r>
            <w:r>
              <w:instrText xml:space="preserve"> HYPERLINK "http://zhuanli.zhuanli360.net/i57/利用硅基炔烃类化合物合成1,2,3-三氮唑类化合物的方法-4606769.html" \t "_blank" </w:instrText>
            </w:r>
            <w:r>
              <w:fldChar w:fldCharType="separate"/>
            </w:r>
            <w:r>
              <w:t>利用硅基炔烃类化合物合成1,2,3-三氮唑类化合物的方法</w:t>
            </w:r>
            <w:r>
              <w:fldChar w:fldCharType="end"/>
            </w:r>
          </w:p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ZL201110206278.0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发明专利</w:t>
            </w:r>
          </w:p>
        </w:tc>
        <w:tc>
          <w:tcPr>
            <w:tcW w:w="993" w:type="dxa"/>
            <w:vAlign w:val="center"/>
          </w:tcPr>
          <w:p>
            <w:r>
              <w:t>2014.05.28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第一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一种NH-1,2,3-三唑化合物的合成方法</w:t>
            </w:r>
          </w:p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ZL201510183523.9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发明专利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2018.10.25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第一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一种4,5-二芳基-2H-1,2,3-三唑化合物的制备方法</w:t>
            </w:r>
          </w:p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851" w:type="dxa"/>
            <w:vAlign w:val="center"/>
          </w:tcPr>
          <w:p>
            <w:r>
              <w:tab/>
            </w:r>
          </w:p>
          <w:p>
            <w:r>
              <w:t>ZL201811053496.3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发明专利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2020.</w:t>
            </w:r>
            <w:r>
              <w:t>06.30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第一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/>
        </w:tc>
        <w:tc>
          <w:tcPr>
            <w:tcW w:w="2997" w:type="dxa"/>
            <w:vAlign w:val="center"/>
          </w:tcPr>
          <w:p/>
        </w:tc>
        <w:tc>
          <w:tcPr>
            <w:tcW w:w="711" w:type="dxa"/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1275" w:type="dxa"/>
            <w:vAlign w:val="center"/>
          </w:tcPr>
          <w:p/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/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/>
        </w:tc>
        <w:tc>
          <w:tcPr>
            <w:tcW w:w="2997" w:type="dxa"/>
            <w:vAlign w:val="center"/>
          </w:tcPr>
          <w:p/>
        </w:tc>
        <w:tc>
          <w:tcPr>
            <w:tcW w:w="711" w:type="dxa"/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1275" w:type="dxa"/>
            <w:vAlign w:val="center"/>
          </w:tcPr>
          <w:p/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/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/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1275" w:type="dxa"/>
            <w:vAlign w:val="center"/>
          </w:tcPr>
          <w:p/>
        </w:tc>
        <w:tc>
          <w:tcPr>
            <w:tcW w:w="993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r>
        <w:rPr>
          <w:rFonts w:hint="eastAsia"/>
        </w:rPr>
        <w:t>注：自然科学类参考附件1-5填写，等级按A-C填写。</w:t>
      </w:r>
    </w:p>
    <w:p/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06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170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323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注：人文社科类参考评审文件附件1-4填写，等级按A-C填写。</w:t>
      </w:r>
    </w:p>
    <w:p>
      <w:pPr>
        <w:widowControl/>
        <w:jc w:val="left"/>
      </w:pPr>
    </w:p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977"/>
        <w:gridCol w:w="1559"/>
        <w:gridCol w:w="1689"/>
        <w:gridCol w:w="928"/>
        <w:gridCol w:w="1211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七、科技成果转化（经费）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/>
          <w:p/>
        </w:tc>
        <w:tc>
          <w:tcPr>
            <w:tcW w:w="2977" w:type="dxa"/>
            <w:vAlign w:val="center"/>
          </w:tcPr>
          <w:p/>
        </w:tc>
        <w:tc>
          <w:tcPr>
            <w:tcW w:w="1559" w:type="dxa"/>
            <w:vAlign w:val="center"/>
          </w:tcPr>
          <w:p/>
        </w:tc>
        <w:tc>
          <w:tcPr>
            <w:tcW w:w="1689" w:type="dxa"/>
            <w:vAlign w:val="center"/>
          </w:tcPr>
          <w:p/>
        </w:tc>
        <w:tc>
          <w:tcPr>
            <w:tcW w:w="928" w:type="dxa"/>
            <w:vAlign w:val="center"/>
          </w:tcPr>
          <w:p/>
        </w:tc>
        <w:tc>
          <w:tcPr>
            <w:tcW w:w="1211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</w:tr>
    </w:tbl>
    <w:p>
      <w:r>
        <w:rPr>
          <w:rFonts w:hint="eastAsia"/>
        </w:rPr>
        <w:t>注：参考附件1-5填写。</w:t>
      </w:r>
    </w:p>
    <w:p>
      <w:pPr>
        <w:widowControl/>
        <w:jc w:val="left"/>
      </w:pPr>
      <w:r>
        <w:br w:type="page"/>
      </w:r>
    </w:p>
    <w:p>
      <w:pPr>
        <w:widowControl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双师型教师实践应用能力评价计分汇总表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color w:val="000000"/>
          <w:kern w:val="0"/>
          <w:szCs w:val="21"/>
        </w:rPr>
        <w:t>双师型教师职务任职资格评审实践应用能力评价计分表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实施部门</w:t>
            </w:r>
          </w:p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34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spacing w:before="156" w:beforeLines="50"/>
        <w:jc w:val="left"/>
        <w:textAlignment w:val="center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技技能，且与在教学岗位从事的专业技术工作密切关联。</w:t>
      </w:r>
    </w:p>
    <w:p>
      <w:pPr>
        <w:widowControl/>
        <w:jc w:val="left"/>
      </w:pPr>
    </w:p>
    <w:p>
      <w:pPr>
        <w:widowControl/>
        <w:spacing w:line="60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color w:val="000000"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3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spacing w:before="156"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>
      <w:pPr>
        <w:widowControl/>
        <w:jc w:val="left"/>
        <w:rPr>
          <w:rFonts w:asciiTheme="minorEastAsia" w:hAnsiTheme="minorEastAsia"/>
          <w:szCs w:val="21"/>
        </w:rPr>
      </w:pPr>
    </w:p>
    <w:p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7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/>
          <w:szCs w:val="21"/>
        </w:rPr>
      </w:pPr>
    </w:p>
    <w:p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7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07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教育教育能力分值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hint="eastAsia" w:cs="仿宋" w:asciiTheme="minorEastAsia" w:hAnsiTheme="minorEastAsia"/>
          <w:color w:val="000000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>
      <w:pPr>
        <w:widowControl/>
        <w:jc w:val="left"/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</w:trPr>
        <w:tc>
          <w:tcPr>
            <w:tcW w:w="9854" w:type="dxa"/>
          </w:tcPr>
          <w:p/>
          <w:p>
            <w:pPr>
              <w:spacing w:line="50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热心于高等教育事业，兢兢业业从事教学和科研工作，以一名优秀的高校教师标准来严格要求自己，并拥有较高的职业道德操守、强烈的事业心和责任感。积极完成各种教学任务，授课方面，课前认真进行教学准备，课程中认真负责，课后积极辅导学生，努力传授学科知识，并积极引导学生开阔知识视野，激发和保证学生的探索精神，积极探索受学生的好评和喜爱的上课风格。</w:t>
            </w:r>
            <w:r>
              <w:rPr>
                <w:rFonts w:hint="eastAsia"/>
                <w:sz w:val="24"/>
              </w:rPr>
              <w:t>取得副教授资格以来，</w:t>
            </w:r>
            <w:r>
              <w:rPr>
                <w:rFonts w:hint="eastAsia" w:ascii="宋体" w:hAnsi="宋体"/>
                <w:sz w:val="24"/>
              </w:rPr>
              <w:t>分别担任海南师范大学化学与化工学院有机化学、有机化学实验、药事管理学和文献检索与论文写作等课程的教学工作，并将这些课程以有机分子性质其应用和研究进行联系。教学中，年均教学工作量达到聘任教学科研并重型教授标准，课堂教学质量评估等级均为优秀。</w:t>
            </w:r>
            <w:r>
              <w:rPr>
                <w:rFonts w:hint="eastAsia"/>
                <w:sz w:val="24"/>
              </w:rPr>
              <w:t>多次积极参加学校教学示范课、翻转课堂教学和网络课程等形式的教学研讨和学习。并积极将学习情况应用于教学中。同时努力结合自身情况，对教学进行积极探索，探索新的教学方式和考试改革方案，为努力提高教学效果而努力，这些工作过程中，启发了我们对教学改革的思考，并将结果公开发表在省级期刊上，论文发表1篇。并积极申报教学改革项目，争取在教学中取得更多成果。</w:t>
            </w:r>
          </w:p>
          <w:p>
            <w:pPr>
              <w:spacing w:line="50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工作中，积极承担班主任工作多年，鼓励和引导学生建立积极的大学学习和生活态度，帮助学生解决学习和生活中的问题。同时积极参与学生的各种指导工作，包括毕业论文设计、创新项目等，目前已指导七届学生完成毕业论文，指导四个学生团队完成省级创新项目。在这个过程中，通过全程参与式的协助和指导，学生取得了一定的成绩，却得到了极大的锻炼，</w:t>
            </w:r>
            <w:r>
              <w:rPr>
                <w:sz w:val="24"/>
              </w:rPr>
              <w:t>多</w:t>
            </w:r>
            <w:r>
              <w:rPr>
                <w:rFonts w:hint="eastAsia"/>
                <w:sz w:val="24"/>
              </w:rPr>
              <w:t>位</w:t>
            </w:r>
            <w:r>
              <w:rPr>
                <w:sz w:val="24"/>
              </w:rPr>
              <w:t>同学考取了研究生</w:t>
            </w:r>
            <w:r>
              <w:rPr>
                <w:rFonts w:hint="eastAsia"/>
                <w:sz w:val="24"/>
              </w:rPr>
              <w:t>。多年</w:t>
            </w:r>
            <w:r>
              <w:rPr>
                <w:sz w:val="24"/>
              </w:rPr>
              <w:t>的教学经验积累</w:t>
            </w:r>
            <w:r>
              <w:rPr>
                <w:rFonts w:hint="eastAsia"/>
                <w:sz w:val="24"/>
              </w:rPr>
              <w:t>下</w:t>
            </w:r>
            <w:r>
              <w:rPr>
                <w:sz w:val="24"/>
              </w:rPr>
              <w:t>，</w:t>
            </w:r>
            <w:r>
              <w:rPr>
                <w:rFonts w:hint="eastAsia"/>
                <w:sz w:val="24"/>
              </w:rPr>
              <w:t>参与编写教材1部（科学</w:t>
            </w:r>
            <w:r>
              <w:rPr>
                <w:sz w:val="24"/>
              </w:rPr>
              <w:t>出版社</w:t>
            </w:r>
            <w:r>
              <w:rPr>
                <w:rFonts w:hint="eastAsia"/>
                <w:sz w:val="24"/>
              </w:rPr>
              <w:t>，《有机化学</w:t>
            </w:r>
            <w:r>
              <w:rPr>
                <w:sz w:val="24"/>
              </w:rPr>
              <w:t>实验</w:t>
            </w:r>
            <w:r>
              <w:rPr>
                <w:rFonts w:hint="eastAsia"/>
                <w:sz w:val="24"/>
              </w:rPr>
              <w:t>》），</w:t>
            </w:r>
            <w:r>
              <w:rPr>
                <w:sz w:val="24"/>
              </w:rPr>
              <w:t>主持省级教改项目</w:t>
            </w:r>
            <w:r>
              <w:rPr>
                <w:rFonts w:hint="eastAsia"/>
                <w:sz w:val="24"/>
              </w:rPr>
              <w:t>1项（面向高师化学“核心素养”培养的微信公众号平台建设-----以有机化学为例）。</w:t>
            </w:r>
          </w:p>
          <w:p>
            <w:pPr>
              <w:widowControl/>
              <w:spacing w:line="360" w:lineRule="auto"/>
              <w:ind w:firstLine="360" w:firstLineChars="1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取得副教授资格以来积极开展各项科研工作，并取得了一定的科研成绩：参与完成著作1部，主持并完成海南省自然科学基金项目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项，主持完成国家自然科学基金项目1项，参与完成国家自然科学基金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项。以第一发明人申请国家发明专利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项，目前已授权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项。这些研究工作均围绕一个重要的1,2,3-三唑杂环结构进行。针对1,2,3-三唑结构的特殊性，我们发展了多种合成方法，这些合成方法分别实现了不同类型的三唑产物的高效便捷的合成，且这些结构有望应用于药物的合成中，如他唑巴坦、而</w:t>
            </w:r>
            <w:r>
              <w:rPr>
                <w:sz w:val="24"/>
              </w:rPr>
              <w:t>4-Aryl-NH-1,2,3-Triazoles</w:t>
            </w:r>
            <w:r>
              <w:rPr>
                <w:rFonts w:hint="eastAsia"/>
                <w:sz w:val="24"/>
              </w:rPr>
              <w:t>的合成，为一种潜在肺小叶细胞癌治疗药物提供了高效便捷的合成方法。研究结果发表SCI科学论文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篇，这些研究结果被国内外研究者在有机化学领域的top刊物如Org. Lett.、 Comm. Chem.和</w:t>
            </w:r>
            <w:r>
              <w:rPr>
                <w:sz w:val="24"/>
              </w:rPr>
              <w:t>ACS Catalysis</w:t>
            </w:r>
            <w:r>
              <w:rPr>
                <w:rFonts w:hint="eastAsia"/>
                <w:sz w:val="24"/>
              </w:rPr>
              <w:t>.中多次引用，这些论文的他引总计近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0次。</w:t>
            </w:r>
            <w:r>
              <w:rPr>
                <w:sz w:val="24"/>
              </w:rPr>
              <w:t>”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4-Aryl-NH-1,2,3-Triazoles via Multicomponent Reaction of Aldehydes, Nitroalkanes, and Sodium Azide</w:t>
            </w:r>
            <w:r>
              <w:rPr>
                <w:sz w:val="24"/>
              </w:rPr>
              <w:t>”</w:t>
            </w:r>
            <w:r>
              <w:rPr>
                <w:rFonts w:hint="eastAsia"/>
                <w:sz w:val="24"/>
              </w:rPr>
              <w:t>一文被编辑推荐作为synlett刊物当年最佳论文候选论文。2014年，获海南师范大学科研成果奖三等奖。这些研究成果，满足了我校对教学科研并重型教授的科研工作。我们希望在今后的研究中，进一步拓展三唑在复杂结构中的构建，为药物合成和结构修饰开辟新的路线。2014年，完成参编著作1部，题目为《药物生产技术》，科学出版社。我真情期望这些研究工作能为科学发展做出相应的贡献，结合我校的特色研究领域，推动化学为社会服务。</w:t>
            </w:r>
          </w:p>
          <w:p>
            <w:pPr>
              <w:spacing w:line="50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基于对科学研究的兴趣，我积极参加学术会议，与同行交流。其中参加国际学术会议1次，参加多次全国性学术会议，将我们的研究成果与同行分享，并在交流中受益匪浅。并于于2016年参加中南有机化学论坛上作公开报告1次，2018年和2019年在我校进行了4次学术讲座。2015年被遴选为学术型研究生导师, 2017年开始指导研究生，为研究和教学工作的开展提供了更好的机遇和更高的挑战。</w:t>
            </w:r>
          </w:p>
          <w:p>
            <w:pPr>
              <w:spacing w:line="50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工作中，我深刻体会到教学与科研工作的相互联系和相互促进，并努力将二者结合，实现教-研相结合，以教学科研并重要求自己的教学和科研工作。</w:t>
            </w:r>
          </w:p>
          <w:p>
            <w:pPr>
              <w:spacing w:line="50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综上所述，本人在教学和科研方面均取得了一定的成绩，满足了我校教学科研并重型教授的评价要求。我期望能争取到这样的职位，并在相应的岗位上进一步实现教书育才、科学服务社会的梦想，这是我辈在国家蓬勃</w:t>
            </w:r>
            <w:r>
              <w:rPr>
                <w:sz w:val="24"/>
              </w:rPr>
              <w:t>发展</w:t>
            </w:r>
            <w:r>
              <w:rPr>
                <w:rFonts w:hint="eastAsia"/>
                <w:sz w:val="24"/>
              </w:rPr>
              <w:t>历程中的责任与担当。</w:t>
            </w:r>
          </w:p>
          <w:p/>
          <w:p/>
          <w:p/>
          <w:p>
            <w:r>
              <w:rPr>
                <w:rFonts w:hint="eastAsia"/>
              </w:rPr>
              <w:t>本人承诺：</w:t>
            </w:r>
          </w:p>
          <w:p/>
          <w:p/>
          <w:p/>
          <w:p>
            <w:r>
              <w:rPr>
                <w:rFonts w:hint="eastAsia"/>
              </w:rPr>
              <w:t xml:space="preserve">                                                       签名：                   年   月   日</w:t>
            </w:r>
          </w:p>
        </w:tc>
      </w:tr>
    </w:tbl>
    <w:p/>
    <w:p/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7"/>
        <w:tblW w:w="974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吴禄勇</w:t>
            </w:r>
          </w:p>
        </w:tc>
        <w:tc>
          <w:tcPr>
            <w:tcW w:w="154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化学</w:t>
            </w:r>
            <w:r>
              <w:rPr>
                <w:rFonts w:ascii="仿宋_GB2312" w:eastAsia="仿宋_GB2312"/>
                <w:sz w:val="30"/>
                <w:szCs w:val="30"/>
              </w:rPr>
              <w:t>与化工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化学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教学</w:t>
            </w:r>
            <w:r>
              <w:rPr>
                <w:rFonts w:ascii="仿宋_GB2312" w:eastAsia="仿宋_GB2312"/>
                <w:sz w:val="30"/>
                <w:szCs w:val="30"/>
              </w:rPr>
              <w:t>与科研型教授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请根据《条件》中相应的教学业绩条件1及申报人的教学业绩进行鉴定：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请根据《条件》中相应的科研业绩条件及申报人的科研业绩进行鉴定：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二级学院职称评审推荐工作委员会成员签名：</w:t>
            </w: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日期：          年    月    日</w:t>
            </w:r>
          </w:p>
          <w:p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注：只对申报教授、副教授人员书写鉴定意见。</w:t>
      </w:r>
    </w:p>
    <w:p/>
    <w:tbl>
      <w:tblPr>
        <w:tblStyle w:val="6"/>
        <w:tblW w:w="0" w:type="auto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同志的申报材料真实完整，并经    年  月  日至    月   日公示无异议，同意推荐其参评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         *******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专业技术资格职称。</w:t>
            </w:r>
          </w:p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 表 性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代表性成果1名称：</w:t>
            </w:r>
          </w:p>
          <w:p>
            <w:pPr>
              <w:widowControl/>
              <w:jc w:val="left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</w:rPr>
              <w:t>4-Aryl-NH-1,2,3-Triazoles via Multicomponent Reaction of Alde-hydes, Nitroalkanes, and Sodium Azide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代表性成果2名称：</w:t>
            </w: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Tandem synthesis of 2-aryl-1,2,3-triazoles from </w:t>
            </w:r>
            <w:r>
              <w:rPr>
                <w:rFonts w:ascii="Times New Roman" w:hAnsi="Times New Roman" w:cs="Times New Roman"/>
                <w:i/>
                <w:color w:val="000000"/>
                <w:kern w:val="0"/>
                <w:szCs w:val="21"/>
              </w:rPr>
              <w:t>α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-arylhydrazonoketones with NH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OAc via copper-catalyzed aerobic oxidation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申报人答辨情况：</w:t>
            </w:r>
            <w:r>
              <w:rPr>
                <w:kern w:val="0"/>
              </w:rPr>
              <w:t xml:space="preserve"> </w:t>
            </w: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>
            <w:pPr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widowControl/>
              <w:spacing w:line="520" w:lineRule="atLeast"/>
              <w:ind w:right="840"/>
              <w:jc w:val="left"/>
              <w:rPr>
                <w:rFonts w:hint="eastAsia"/>
                <w:kern w:val="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</w:tc>
      </w:tr>
    </w:tbl>
    <w:p/>
    <w:p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38" w:type="dxa"/>
            <w:vMerge w:val="restart"/>
            <w:textDirection w:val="tbRlV"/>
            <w:vAlign w:val="center"/>
          </w:tcPr>
          <w:p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229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>
            <w:pPr>
              <w:pStyle w:val="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3125"/>
      <w:docPartObj>
        <w:docPartGallery w:val="autotext"/>
      </w:docPartObj>
    </w:sdtPr>
    <w:sdtContent>
      <w:sdt>
        <w:sdtPr>
          <w:id w:val="19013124"/>
          <w:docPartObj>
            <w:docPartGallery w:val="autotext"/>
          </w:docPartObj>
        </w:sdtPr>
        <w:sdtContent>
          <w:p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2ZTBjZmUxMzVkMDJhNmMxNGQwNjA2M2I2OTM2MGIifQ=="/>
  </w:docVars>
  <w:rsids>
    <w:rsidRoot w:val="0033126B"/>
    <w:rsid w:val="000077C7"/>
    <w:rsid w:val="000204C4"/>
    <w:rsid w:val="0002075C"/>
    <w:rsid w:val="00024587"/>
    <w:rsid w:val="00035ADA"/>
    <w:rsid w:val="00050B41"/>
    <w:rsid w:val="00052874"/>
    <w:rsid w:val="000734BB"/>
    <w:rsid w:val="000835E5"/>
    <w:rsid w:val="00086C19"/>
    <w:rsid w:val="00091D39"/>
    <w:rsid w:val="00093E8E"/>
    <w:rsid w:val="000A1C4F"/>
    <w:rsid w:val="000A53B5"/>
    <w:rsid w:val="000A6447"/>
    <w:rsid w:val="000B172A"/>
    <w:rsid w:val="000B25F1"/>
    <w:rsid w:val="000B34C6"/>
    <w:rsid w:val="000B5BC8"/>
    <w:rsid w:val="000B7E3F"/>
    <w:rsid w:val="000C7246"/>
    <w:rsid w:val="000E1FCC"/>
    <w:rsid w:val="000E777B"/>
    <w:rsid w:val="000F2B39"/>
    <w:rsid w:val="00100416"/>
    <w:rsid w:val="00102860"/>
    <w:rsid w:val="001034FB"/>
    <w:rsid w:val="00106765"/>
    <w:rsid w:val="00110033"/>
    <w:rsid w:val="001152EC"/>
    <w:rsid w:val="001179E3"/>
    <w:rsid w:val="00123022"/>
    <w:rsid w:val="0012343B"/>
    <w:rsid w:val="0012740F"/>
    <w:rsid w:val="0012753C"/>
    <w:rsid w:val="00135BB9"/>
    <w:rsid w:val="00136E7A"/>
    <w:rsid w:val="001575A7"/>
    <w:rsid w:val="00160D6D"/>
    <w:rsid w:val="00162E66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22455"/>
    <w:rsid w:val="00226AC5"/>
    <w:rsid w:val="00226EDE"/>
    <w:rsid w:val="002270A7"/>
    <w:rsid w:val="002326D9"/>
    <w:rsid w:val="0024085C"/>
    <w:rsid w:val="00243159"/>
    <w:rsid w:val="00247B30"/>
    <w:rsid w:val="00257618"/>
    <w:rsid w:val="00271356"/>
    <w:rsid w:val="002816E7"/>
    <w:rsid w:val="002859E6"/>
    <w:rsid w:val="00295BBE"/>
    <w:rsid w:val="002975A7"/>
    <w:rsid w:val="002B5D77"/>
    <w:rsid w:val="002C2E4D"/>
    <w:rsid w:val="002E42F6"/>
    <w:rsid w:val="002F1EC4"/>
    <w:rsid w:val="002F3261"/>
    <w:rsid w:val="00314EE7"/>
    <w:rsid w:val="00315AAE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6378A"/>
    <w:rsid w:val="00384C68"/>
    <w:rsid w:val="0039460C"/>
    <w:rsid w:val="00397701"/>
    <w:rsid w:val="003A5EA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3840"/>
    <w:rsid w:val="00424D1B"/>
    <w:rsid w:val="00433D52"/>
    <w:rsid w:val="004542AC"/>
    <w:rsid w:val="00455996"/>
    <w:rsid w:val="004632E2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47B9"/>
    <w:rsid w:val="00507D8E"/>
    <w:rsid w:val="005159AC"/>
    <w:rsid w:val="00523155"/>
    <w:rsid w:val="00543465"/>
    <w:rsid w:val="005617BD"/>
    <w:rsid w:val="00565F0F"/>
    <w:rsid w:val="0057729A"/>
    <w:rsid w:val="00583E93"/>
    <w:rsid w:val="005B504B"/>
    <w:rsid w:val="005B6A8B"/>
    <w:rsid w:val="005C4D65"/>
    <w:rsid w:val="005D00FA"/>
    <w:rsid w:val="005E06B1"/>
    <w:rsid w:val="005E3440"/>
    <w:rsid w:val="005E58F4"/>
    <w:rsid w:val="005E7819"/>
    <w:rsid w:val="005F4412"/>
    <w:rsid w:val="005F645A"/>
    <w:rsid w:val="00607D1E"/>
    <w:rsid w:val="00613028"/>
    <w:rsid w:val="00622561"/>
    <w:rsid w:val="0062256C"/>
    <w:rsid w:val="00623BB8"/>
    <w:rsid w:val="00641148"/>
    <w:rsid w:val="006440E3"/>
    <w:rsid w:val="00647D66"/>
    <w:rsid w:val="00652272"/>
    <w:rsid w:val="00661C50"/>
    <w:rsid w:val="00661D38"/>
    <w:rsid w:val="006646A1"/>
    <w:rsid w:val="00667E20"/>
    <w:rsid w:val="00674EFB"/>
    <w:rsid w:val="00683819"/>
    <w:rsid w:val="0069036C"/>
    <w:rsid w:val="00690D02"/>
    <w:rsid w:val="006916D8"/>
    <w:rsid w:val="00691EF6"/>
    <w:rsid w:val="006A44CB"/>
    <w:rsid w:val="006A4614"/>
    <w:rsid w:val="006B1E56"/>
    <w:rsid w:val="006D40E4"/>
    <w:rsid w:val="006E5989"/>
    <w:rsid w:val="006E7E68"/>
    <w:rsid w:val="006F036C"/>
    <w:rsid w:val="007023F1"/>
    <w:rsid w:val="007031A9"/>
    <w:rsid w:val="00713721"/>
    <w:rsid w:val="00714623"/>
    <w:rsid w:val="007313BA"/>
    <w:rsid w:val="00734128"/>
    <w:rsid w:val="007415CC"/>
    <w:rsid w:val="00741F1A"/>
    <w:rsid w:val="00746377"/>
    <w:rsid w:val="00777776"/>
    <w:rsid w:val="007965C2"/>
    <w:rsid w:val="0079694D"/>
    <w:rsid w:val="007A6787"/>
    <w:rsid w:val="007A6B08"/>
    <w:rsid w:val="007A6DCF"/>
    <w:rsid w:val="007C4C8E"/>
    <w:rsid w:val="007C6F2B"/>
    <w:rsid w:val="007D5886"/>
    <w:rsid w:val="007E6312"/>
    <w:rsid w:val="007E7FD3"/>
    <w:rsid w:val="007F07A4"/>
    <w:rsid w:val="008036F3"/>
    <w:rsid w:val="00805C35"/>
    <w:rsid w:val="00812BDD"/>
    <w:rsid w:val="00812C68"/>
    <w:rsid w:val="00820FD3"/>
    <w:rsid w:val="008222A5"/>
    <w:rsid w:val="008269F0"/>
    <w:rsid w:val="00826A66"/>
    <w:rsid w:val="00830327"/>
    <w:rsid w:val="00833AA5"/>
    <w:rsid w:val="00837A92"/>
    <w:rsid w:val="00864763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5296"/>
    <w:rsid w:val="00912A23"/>
    <w:rsid w:val="00927B7A"/>
    <w:rsid w:val="009332E6"/>
    <w:rsid w:val="009363D5"/>
    <w:rsid w:val="00956FEE"/>
    <w:rsid w:val="00957B6A"/>
    <w:rsid w:val="009624BB"/>
    <w:rsid w:val="00962F66"/>
    <w:rsid w:val="00963E8A"/>
    <w:rsid w:val="00967876"/>
    <w:rsid w:val="00974F96"/>
    <w:rsid w:val="0098533B"/>
    <w:rsid w:val="00986608"/>
    <w:rsid w:val="00992502"/>
    <w:rsid w:val="009B5A2A"/>
    <w:rsid w:val="009C1F06"/>
    <w:rsid w:val="009E353C"/>
    <w:rsid w:val="009E64C8"/>
    <w:rsid w:val="00A03435"/>
    <w:rsid w:val="00A12F14"/>
    <w:rsid w:val="00A457E7"/>
    <w:rsid w:val="00A600A4"/>
    <w:rsid w:val="00A64CA0"/>
    <w:rsid w:val="00A74B54"/>
    <w:rsid w:val="00A8728C"/>
    <w:rsid w:val="00AA4660"/>
    <w:rsid w:val="00AB4B1E"/>
    <w:rsid w:val="00AD5CCC"/>
    <w:rsid w:val="00AF2BB3"/>
    <w:rsid w:val="00AF445F"/>
    <w:rsid w:val="00B036DE"/>
    <w:rsid w:val="00B06BF4"/>
    <w:rsid w:val="00B07F41"/>
    <w:rsid w:val="00B111AD"/>
    <w:rsid w:val="00B16465"/>
    <w:rsid w:val="00B20A8D"/>
    <w:rsid w:val="00B22E22"/>
    <w:rsid w:val="00B27696"/>
    <w:rsid w:val="00B80533"/>
    <w:rsid w:val="00B82843"/>
    <w:rsid w:val="00BA646C"/>
    <w:rsid w:val="00BB6938"/>
    <w:rsid w:val="00BD1A32"/>
    <w:rsid w:val="00BD476E"/>
    <w:rsid w:val="00BD4E90"/>
    <w:rsid w:val="00BF37BD"/>
    <w:rsid w:val="00C008D8"/>
    <w:rsid w:val="00C0165A"/>
    <w:rsid w:val="00C34D75"/>
    <w:rsid w:val="00C35A03"/>
    <w:rsid w:val="00C3645D"/>
    <w:rsid w:val="00C53042"/>
    <w:rsid w:val="00C65AB8"/>
    <w:rsid w:val="00C77711"/>
    <w:rsid w:val="00C824FA"/>
    <w:rsid w:val="00C828EC"/>
    <w:rsid w:val="00C90195"/>
    <w:rsid w:val="00C93845"/>
    <w:rsid w:val="00C96100"/>
    <w:rsid w:val="00CA4E59"/>
    <w:rsid w:val="00CB1F99"/>
    <w:rsid w:val="00CC7EE7"/>
    <w:rsid w:val="00CD2226"/>
    <w:rsid w:val="00CD3CEA"/>
    <w:rsid w:val="00CD42FF"/>
    <w:rsid w:val="00CD7981"/>
    <w:rsid w:val="00CE435E"/>
    <w:rsid w:val="00CF2B34"/>
    <w:rsid w:val="00CF6E1A"/>
    <w:rsid w:val="00D20B34"/>
    <w:rsid w:val="00D273BE"/>
    <w:rsid w:val="00D36A37"/>
    <w:rsid w:val="00D3748A"/>
    <w:rsid w:val="00D416C2"/>
    <w:rsid w:val="00D41CF0"/>
    <w:rsid w:val="00D647CB"/>
    <w:rsid w:val="00D66B57"/>
    <w:rsid w:val="00D90FFE"/>
    <w:rsid w:val="00D91F30"/>
    <w:rsid w:val="00DA3AD6"/>
    <w:rsid w:val="00DA6B66"/>
    <w:rsid w:val="00DA6ED4"/>
    <w:rsid w:val="00DB02E4"/>
    <w:rsid w:val="00DC11A1"/>
    <w:rsid w:val="00DD5F4F"/>
    <w:rsid w:val="00DD7968"/>
    <w:rsid w:val="00DE299B"/>
    <w:rsid w:val="00DE3F60"/>
    <w:rsid w:val="00DE5271"/>
    <w:rsid w:val="00E05692"/>
    <w:rsid w:val="00E07849"/>
    <w:rsid w:val="00E161A5"/>
    <w:rsid w:val="00E206F2"/>
    <w:rsid w:val="00E46C18"/>
    <w:rsid w:val="00E55EEB"/>
    <w:rsid w:val="00E57AA4"/>
    <w:rsid w:val="00E713EE"/>
    <w:rsid w:val="00E92419"/>
    <w:rsid w:val="00EA2543"/>
    <w:rsid w:val="00EB1023"/>
    <w:rsid w:val="00EC00E0"/>
    <w:rsid w:val="00ED30F2"/>
    <w:rsid w:val="00EE2F78"/>
    <w:rsid w:val="00EE3937"/>
    <w:rsid w:val="00EE5924"/>
    <w:rsid w:val="00EE79DB"/>
    <w:rsid w:val="00F02B0D"/>
    <w:rsid w:val="00F11E8F"/>
    <w:rsid w:val="00F17B4D"/>
    <w:rsid w:val="00F200F9"/>
    <w:rsid w:val="00F22090"/>
    <w:rsid w:val="00F24A17"/>
    <w:rsid w:val="00F321F6"/>
    <w:rsid w:val="00F35F47"/>
    <w:rsid w:val="00F50D1D"/>
    <w:rsid w:val="00F57802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2A6E"/>
    <w:rsid w:val="00FB3155"/>
    <w:rsid w:val="00FB4508"/>
    <w:rsid w:val="00FB5E1C"/>
    <w:rsid w:val="00FC5F11"/>
    <w:rsid w:val="00FD5538"/>
    <w:rsid w:val="00FF0622"/>
    <w:rsid w:val="00FF54C9"/>
    <w:rsid w:val="38BA425C"/>
    <w:rsid w:val="48F45EBC"/>
    <w:rsid w:val="5E45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Char"/>
    <w:basedOn w:val="8"/>
    <w:link w:val="4"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25</Pages>
  <Words>9312</Words>
  <Characters>11910</Characters>
  <Lines>123</Lines>
  <Paragraphs>34</Paragraphs>
  <TotalTime>1</TotalTime>
  <ScaleCrop>false</ScaleCrop>
  <LinksUpToDate>false</LinksUpToDate>
  <CharactersWithSpaces>13965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2022-01-17T00:49:00Z</dcterms:created>
  <dc:creator>符桑岚</dc:creator>
  <cp:lastModifiedBy>Administrator</cp:lastModifiedBy>
  <cp:lastPrinted>2022-01-17T03:08:00Z</cp:lastPrinted>
  <dcterms:modified xsi:type="dcterms:W3CDTF">2022-12-02T05:29:54Z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E9C514F6892E47DBBE2651138615523F</vt:lpwstr>
  </property>
</Properties>
</file>